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</w:rPr>
      </w:pPr>
      <w:bookmarkStart w:colFirst="0" w:colLast="0" w:name="_g8t64opc76qn" w:id="0"/>
      <w:bookmarkEnd w:id="0"/>
      <w:r w:rsidDel="00000000" w:rsidR="00000000" w:rsidRPr="00000000">
        <w:rPr>
          <w:b w:val="1"/>
          <w:rtl w:val="0"/>
        </w:rPr>
        <w:t xml:space="preserve">Kingdom of Kush Government Vendor Checklist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5wr9jceb0s3t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1. Vendor Pre-Qualification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Inquiry and Registration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 potential vendors to the official government vendor registration portal (e.g.,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kingdomofkush.org/vendor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).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clear instructions and FAQs about registration requirements.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20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Assign a government liaison for vendor queries.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0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Eligibility Verification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for compliance with registration requirements (e.g., business licenses, tax identification, financial solvency).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20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Verify vendor qualifications, certifications, and previous government or private sector experience.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0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Conflict of Interest Screening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a review to ensure no conflicts of interest between the vendor and government officials or programs.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vs325aj55jq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2. Vendor Onboarding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Notification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200" w:afterAutospacing="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Notify the vendor of approval via email and provide an official vendor ID and registration confirmation.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0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Orientation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 an orientation session to familiarize the vendor with:</w:t>
      </w:r>
    </w:p>
    <w:p w:rsidR="00000000" w:rsidDel="00000000" w:rsidP="00000000" w:rsidRDefault="00000000" w:rsidRPr="00000000" w14:paraId="00000012">
      <w:pPr>
        <w:numPr>
          <w:ilvl w:val="2"/>
          <w:numId w:val="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Government procurement policies and procedures.</w:t>
      </w:r>
    </w:p>
    <w:p w:rsidR="00000000" w:rsidDel="00000000" w:rsidP="00000000" w:rsidRDefault="00000000" w:rsidRPr="00000000" w14:paraId="00000013">
      <w:pPr>
        <w:numPr>
          <w:ilvl w:val="2"/>
          <w:numId w:val="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 and timelines.</w:t>
      </w:r>
    </w:p>
    <w:p w:rsidR="00000000" w:rsidDel="00000000" w:rsidP="00000000" w:rsidRDefault="00000000" w:rsidRPr="00000000" w14:paraId="00000014">
      <w:pPr>
        <w:numPr>
          <w:ilvl w:val="2"/>
          <w:numId w:val="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protocols.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00" w:before="20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Contract Agreement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Draft a clear contract outlining:</w:t>
      </w:r>
    </w:p>
    <w:p w:rsidR="00000000" w:rsidDel="00000000" w:rsidP="00000000" w:rsidRDefault="00000000" w:rsidRPr="00000000" w14:paraId="00000017">
      <w:pPr>
        <w:numPr>
          <w:ilvl w:val="2"/>
          <w:numId w:val="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Scope of work (SOW).</w:t>
      </w:r>
    </w:p>
    <w:p w:rsidR="00000000" w:rsidDel="00000000" w:rsidP="00000000" w:rsidRDefault="00000000" w:rsidRPr="00000000" w14:paraId="00000018">
      <w:pPr>
        <w:numPr>
          <w:ilvl w:val="2"/>
          <w:numId w:val="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Deliverables.</w:t>
      </w:r>
    </w:p>
    <w:p w:rsidR="00000000" w:rsidDel="00000000" w:rsidP="00000000" w:rsidRDefault="00000000" w:rsidRPr="00000000" w14:paraId="00000019">
      <w:pPr>
        <w:numPr>
          <w:ilvl w:val="2"/>
          <w:numId w:val="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terms and penalties for non-compliance.</w:t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spacing w:after="200" w:before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Confidentiality and data protection requirements.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contract is reviewed and signed by authorized representatives from both parties.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uifhsyfj2icj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3. Implementation Process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Assignment of Vendor Coordinator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Appoint a government coordinator to oversee the vendor’s work and serve as a single point of contact.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00" w:before="20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Kick-off Meeting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Host a meeting to discuss timelines, expectations, and deliverables.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any outstanding questions or concerns from the vendor.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00" w:before="20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Monitoring and Reporting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 a performance monitoring system with regular progress reports.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 the vendor to submit milestones and updates periodically.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Issue Resolution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 a process for handling issues, including a contact hierarchy and escalation process.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00" w:before="20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 any issues and resolutions for transparency.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scou7b77kjtx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4. Payment Process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Invoice Submission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spacing w:after="20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 vendors to submit invoices with appropriate documentation (e.g., purchase orders, delivery receipts).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20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Payment Approval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Verify the invoice against deliverables and approve for payment.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after="200" w:afterAutospacing="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compliance with agreed payment terms, including prompt processing.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20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Record Keeping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after="20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accurate records of payments and vendor performance for audits and reviews.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5bvlk8ucqnim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 Post-Implementation Review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0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Performance Evaluation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Assess the vendor’s performance based on:</w:t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spacing w:after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Quality of deliverables.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spacing w:after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Timeliness.</w:t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spacing w:after="20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Compliance with contract terms.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Feedback and Recommendations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after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constructive feedback to the vendor.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after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areas for improvement and document lessons learned.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0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Renewal or Termination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after="200" w:befor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Decide whether to renew or terminate the vendor’s contract based on performance and government needs.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jlqgaywufqvf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6. Continuous Improvement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Training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spacing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Offer periodic training sessions to improve vendor understanding of government policies and standards.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before="20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Policy Updates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spacing w:after="240" w:before="20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Regularly review and update the vendor onboarding process to incorporate best practices and new regulations.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kingdomofkush.org/vend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